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501099</w:t>
      </w:r>
      <w:bookmarkStart w:id="9" w:name="_GoBack"/>
      <w:bookmarkEnd w:id="9"/>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25DD33A5">
      <w:pPr>
        <w:tabs>
          <w:tab w:val="left" w:pos="1985"/>
        </w:tabs>
        <w:rPr>
          <w:rFonts w:ascii="Times New Roman" w:hAnsi="Times New Roman"/>
          <w:b/>
          <w:sz w:val="22"/>
          <w:highlight w:val="none"/>
        </w:rPr>
      </w:pPr>
    </w:p>
    <w:p w14:paraId="4D850D59">
      <w:pPr>
        <w:tabs>
          <w:tab w:val="left" w:pos="1765"/>
        </w:tabs>
        <w:rPr>
          <w:rFonts w:hint="eastAsia"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1</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part</w:t>
      </w:r>
      <w:r>
        <w:rPr>
          <w:rFonts w:hint="eastAsia" w:ascii="Times New Roman" w:hAnsi="Times New Roman"/>
          <w:sz w:val="22"/>
          <w:lang w:val="en-US" w:eastAsia="zh-CN"/>
        </w:rPr>
        <w:t xml:space="preserve"> for AI/ML for mobilit</w:t>
      </w:r>
      <w:r>
        <w:rPr>
          <w:rFonts w:hint="eastAsia" w:ascii="Times New Roman" w:hAnsi="Times New Roman"/>
          <w:sz w:val="22"/>
          <w:highlight w:val="none"/>
          <w:lang w:val="en-US" w:eastAsia="zh-CN"/>
        </w:rPr>
        <w:t>y</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8A7EA0D">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5CB11B01">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46918C9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0DDA5A89">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2F32914E">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60C3DB0A">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2"/>
          <w:lang w:val="en-US" w:eastAsia="zh-CN"/>
        </w:rPr>
        <w:t>AI/ML for mobilit</w:t>
      </w:r>
      <w:r>
        <w:rPr>
          <w:rFonts w:hint="eastAsia" w:ascii="Times New Roman" w:hAnsi="Times New Roman"/>
          <w:sz w:val="22"/>
          <w:highlight w:val="none"/>
          <w:lang w:val="en-US" w:eastAsia="zh-CN"/>
        </w:rPr>
        <w:t>y</w:t>
      </w:r>
      <w:r>
        <w:rPr>
          <w:rFonts w:hint="eastAsia" w:ascii="Times New Roman" w:hAnsi="Times New Roman"/>
          <w:sz w:val="20"/>
          <w:szCs w:val="20"/>
          <w:lang w:val="en-US" w:eastAsia="zh-CN"/>
        </w:rPr>
        <w:t xml:space="preserve">, and a WF was agreed [2].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the general part</w:t>
      </w:r>
      <w:r>
        <w:rPr>
          <w:rFonts w:hint="eastAsia" w:ascii="Times New Roman" w:hAnsi="Times New Roman"/>
          <w:sz w:val="20"/>
          <w:szCs w:val="20"/>
        </w:rPr>
        <w:t>.</w:t>
      </w:r>
    </w:p>
    <w:p w14:paraId="17263EFA">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1"/>
      <w:bookmarkStart w:id="8"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56E1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1F167893">
            <w:pPr>
              <w:spacing w:after="120"/>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Issue 1-1-2: Sub-use-case priorities</w:t>
            </w:r>
          </w:p>
          <w:p w14:paraId="3C1C5BCC">
            <w:pPr>
              <w:pStyle w:val="12"/>
              <w:numPr>
                <w:ilvl w:val="0"/>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RRM measurement prediction including intra and inter-frequency (UE sided and NW sided model) </w:t>
            </w:r>
            <w:r>
              <w:rPr>
                <w:rFonts w:hint="default" w:ascii="Times New Roman" w:hAnsi="Times New Roman" w:cs="Times New Roman"/>
                <w:color w:val="000000" w:themeColor="text1"/>
                <w:sz w:val="20"/>
                <w:szCs w:val="20"/>
                <w14:textFill>
                  <w14:solidFill>
                    <w14:schemeClr w14:val="tx1"/>
                  </w14:solidFill>
                </w14:textFill>
              </w:rPr>
              <w:t>At RAN2#125bis, the following sub-use cases were agreed for RRM measurement prediction:</w:t>
            </w:r>
          </w:p>
          <w:p w14:paraId="26FA6406">
            <w:pPr>
              <w:pStyle w:val="12"/>
              <w:numPr>
                <w:ilvl w:val="1"/>
                <w:numId w:val="4"/>
              </w:numPr>
              <w:tabs>
                <w:tab w:val="left" w:pos="1440"/>
              </w:tabs>
              <w:overflowPunct/>
              <w:autoSpaceDE/>
              <w:autoSpaceDN/>
              <w:adjustRightInd/>
              <w:spacing w:after="120" w:afterLines="50"/>
              <w:ind w:firstLineChars="0"/>
              <w:contextualSpacing/>
              <w:jc w:val="both"/>
              <w:rPr>
                <w:rFonts w:hint="default" w:ascii="Times New Roman" w:hAnsi="Times New Roman" w:cs="Times New Roman"/>
                <w:sz w:val="20"/>
                <w:szCs w:val="20"/>
              </w:rPr>
            </w:pPr>
            <w:r>
              <w:rPr>
                <w:rFonts w:hint="default" w:ascii="Times New Roman" w:hAnsi="Times New Roman" w:cs="Times New Roman"/>
                <w:i/>
                <w:iCs/>
                <w:sz w:val="20"/>
                <w:szCs w:val="20"/>
              </w:rPr>
              <w:t>Sub-use case 1</w:t>
            </w:r>
            <w:r>
              <w:rPr>
                <w:rFonts w:hint="default" w:ascii="Times New Roman" w:hAnsi="Times New Roman" w:cs="Times New Roman"/>
                <w:sz w:val="20"/>
                <w:szCs w:val="20"/>
              </w:rPr>
              <w:t xml:space="preserve">: L1 beam-level measurement result(s) is predicted based on actual L1 beam-level measurement result(s) and then L3 cell-level measurement result is generated </w:t>
            </w:r>
          </w:p>
          <w:p w14:paraId="6EDBF585">
            <w:pPr>
              <w:pStyle w:val="12"/>
              <w:numPr>
                <w:ilvl w:val="1"/>
                <w:numId w:val="4"/>
              </w:numPr>
              <w:tabs>
                <w:tab w:val="left" w:pos="1440"/>
              </w:tabs>
              <w:overflowPunct/>
              <w:autoSpaceDE/>
              <w:autoSpaceDN/>
              <w:adjustRightInd/>
              <w:spacing w:after="120" w:afterLines="50"/>
              <w:ind w:firstLineChars="0"/>
              <w:contextualSpacing/>
              <w:jc w:val="both"/>
              <w:rPr>
                <w:rFonts w:hint="default" w:ascii="Times New Roman" w:hAnsi="Times New Roman" w:cs="Times New Roman"/>
                <w:sz w:val="20"/>
                <w:szCs w:val="20"/>
              </w:rPr>
            </w:pPr>
            <w:r>
              <w:rPr>
                <w:rFonts w:hint="default" w:ascii="Times New Roman" w:hAnsi="Times New Roman" w:cs="Times New Roman"/>
                <w:i/>
                <w:iCs/>
                <w:sz w:val="20"/>
                <w:szCs w:val="20"/>
              </w:rPr>
              <w:t>Sub-use case 2</w:t>
            </w:r>
            <w:r>
              <w:rPr>
                <w:rFonts w:hint="default" w:ascii="Times New Roman" w:hAnsi="Times New Roman" w:cs="Times New Roman"/>
                <w:sz w:val="20"/>
                <w:szCs w:val="20"/>
              </w:rPr>
              <w:t>: L3 Cell-level measurement result(s) is predicted based on actual L3 cell-level measurement result(s)</w:t>
            </w:r>
          </w:p>
          <w:p w14:paraId="0766EA21">
            <w:pPr>
              <w:pStyle w:val="12"/>
              <w:numPr>
                <w:ilvl w:val="1"/>
                <w:numId w:val="4"/>
              </w:numPr>
              <w:tabs>
                <w:tab w:val="left" w:pos="1440"/>
              </w:tabs>
              <w:overflowPunct/>
              <w:autoSpaceDE/>
              <w:autoSpaceDN/>
              <w:adjustRightInd/>
              <w:spacing w:after="120" w:afterLines="50"/>
              <w:ind w:firstLineChars="0"/>
              <w:contextualSpacing/>
              <w:jc w:val="both"/>
              <w:rPr>
                <w:rFonts w:hint="default" w:ascii="Times New Roman" w:hAnsi="Times New Roman" w:cs="Times New Roman"/>
                <w:sz w:val="20"/>
                <w:szCs w:val="20"/>
              </w:rPr>
            </w:pPr>
            <w:r>
              <w:rPr>
                <w:rFonts w:hint="default" w:ascii="Times New Roman" w:hAnsi="Times New Roman" w:cs="Times New Roman"/>
                <w:i/>
                <w:iCs/>
                <w:sz w:val="20"/>
                <w:szCs w:val="20"/>
              </w:rPr>
              <w:t>Sub-use case 3</w:t>
            </w:r>
            <w:r>
              <w:rPr>
                <w:rFonts w:hint="default" w:ascii="Times New Roman" w:hAnsi="Times New Roman" w:cs="Times New Roman"/>
                <w:sz w:val="20"/>
                <w:szCs w:val="20"/>
              </w:rPr>
              <w:t>: L3 Cell-level measurement result(s) is predicted based on actual L1 beam-level measurement result(s)</w:t>
            </w:r>
          </w:p>
          <w:p w14:paraId="12309C61">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6DEBE50A">
            <w:pPr>
              <w:pStyle w:val="12"/>
              <w:numPr>
                <w:ilvl w:val="1"/>
                <w:numId w:val="4"/>
              </w:numPr>
              <w:overflowPunct/>
              <w:autoSpaceDE/>
              <w:autoSpaceDN/>
              <w:adjustRightInd/>
              <w:snapToGrid w:val="0"/>
              <w:spacing w:after="120"/>
              <w:ind w:firstLineChars="0"/>
              <w:contextualSpacing/>
              <w:textAlignment w:val="auto"/>
              <w:rPr>
                <w:rFonts w:hint="default" w:ascii="Times New Roman" w:hAnsi="Times New Roman" w:cs="Times New Roman"/>
                <w:i/>
                <w:iCs/>
                <w:sz w:val="20"/>
                <w:szCs w:val="20"/>
              </w:rPr>
            </w:pPr>
            <w:r>
              <w:rPr>
                <w:rFonts w:hint="default" w:ascii="Times New Roman" w:hAnsi="Times New Roman" w:eastAsia="Yu Mincho" w:cs="Times New Roman"/>
                <w:sz w:val="20"/>
                <w:szCs w:val="20"/>
              </w:rPr>
              <w:t>Proposal 1 (Nokia): RAN4 to consider the sub-use case 2 (L3 Cell-level measurement result(s) are predicted based on actual L3 cell-level measurement result(s)) as a baseline for the study of scenarios 2, 3, and 4 for cell-level prediction.</w:t>
            </w:r>
          </w:p>
          <w:p w14:paraId="1C861956">
            <w:pPr>
              <w:pStyle w:val="12"/>
              <w:numPr>
                <w:ilvl w:val="1"/>
                <w:numId w:val="4"/>
              </w:numPr>
              <w:overflowPunct/>
              <w:autoSpaceDE/>
              <w:autoSpaceDN/>
              <w:adjustRightInd/>
              <w:snapToGrid w:val="0"/>
              <w:spacing w:after="120"/>
              <w:ind w:firstLineChars="0"/>
              <w:contextualSpacing/>
              <w:textAlignment w:val="auto"/>
              <w:rPr>
                <w:rFonts w:hint="default" w:ascii="Times New Roman" w:hAnsi="Times New Roman" w:cs="Times New Roman"/>
                <w:i/>
                <w:iCs/>
                <w:sz w:val="20"/>
                <w:szCs w:val="20"/>
              </w:rPr>
            </w:pPr>
            <w:r>
              <w:rPr>
                <w:rFonts w:hint="default" w:ascii="Times New Roman" w:hAnsi="Times New Roman" w:eastAsia="Yu Mincho" w:cs="Times New Roman"/>
                <w:sz w:val="20"/>
                <w:szCs w:val="20"/>
              </w:rPr>
              <w:t xml:space="preserve">Proposal 2 (Ericsson): </w:t>
            </w:r>
            <w:r>
              <w:rPr>
                <w:rFonts w:hint="default" w:ascii="Times New Roman" w:hAnsi="Times New Roman" w:cs="Times New Roman"/>
                <w:sz w:val="20"/>
                <w:szCs w:val="20"/>
              </w:rPr>
              <w:t>For intra-frequency intra-cell temporal prediction scenarios (scenario 2 and 4 agreed in RAN4#112bis), RAN4 to prioritize evaluation of impact of sub-use case 2 on RAN4 requirements.</w:t>
            </w:r>
          </w:p>
          <w:p w14:paraId="0DBEAC7E">
            <w:pPr>
              <w:pStyle w:val="12"/>
              <w:numPr>
                <w:ilvl w:val="1"/>
                <w:numId w:val="4"/>
              </w:numPr>
              <w:overflowPunct/>
              <w:autoSpaceDE/>
              <w:autoSpaceDN/>
              <w:adjustRightInd/>
              <w:snapToGrid w:val="0"/>
              <w:spacing w:after="120"/>
              <w:ind w:firstLineChars="0"/>
              <w:contextualSpacing/>
              <w:textAlignment w:val="auto"/>
              <w:rPr>
                <w:rFonts w:hint="default" w:ascii="Times New Roman" w:hAnsi="Times New Roman" w:cs="Times New Roman"/>
                <w:i/>
                <w:iCs/>
                <w:sz w:val="20"/>
                <w:szCs w:val="20"/>
              </w:rPr>
            </w:pPr>
            <w:r>
              <w:rPr>
                <w:rFonts w:hint="default" w:ascii="Times New Roman" w:hAnsi="Times New Roman" w:eastAsia="Yu Mincho" w:cs="Times New Roman"/>
                <w:sz w:val="20"/>
                <w:szCs w:val="20"/>
              </w:rPr>
              <w:t xml:space="preserve">Proposal 3 (Ericsson): </w:t>
            </w:r>
            <w:r>
              <w:rPr>
                <w:rFonts w:hint="default" w:ascii="Times New Roman" w:hAnsi="Times New Roman" w:cs="Times New Roman"/>
                <w:sz w:val="20"/>
                <w:szCs w:val="20"/>
              </w:rPr>
              <w:t>Update agreement from RAN4#112bis on sub-use cases for cell level measurement prediction as:</w:t>
            </w:r>
          </w:p>
          <w:p w14:paraId="66EC1AFD">
            <w:pPr>
              <w:pStyle w:val="12"/>
              <w:numPr>
                <w:ilvl w:val="2"/>
                <w:numId w:val="4"/>
              </w:numPr>
              <w:overflowPunct/>
              <w:autoSpaceDE/>
              <w:autoSpaceDN/>
              <w:adjustRightInd/>
              <w:snapToGrid w:val="0"/>
              <w:spacing w:after="120"/>
              <w:ind w:firstLineChars="0"/>
              <w:contextualSpacing/>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Scenario 2, 3 and 4, the 3 sub-cases can be discussed:</w:t>
            </w:r>
          </w:p>
          <w:p w14:paraId="0AD4451D">
            <w:pPr>
              <w:pStyle w:val="12"/>
              <w:numPr>
                <w:ilvl w:val="3"/>
                <w:numId w:val="4"/>
              </w:numPr>
              <w:overflowPunct/>
              <w:autoSpaceDE/>
              <w:autoSpaceDN/>
              <w:adjustRightInd/>
              <w:snapToGrid w:val="0"/>
              <w:spacing w:after="120"/>
              <w:ind w:firstLineChars="0"/>
              <w:contextualSpacing/>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Sub-use case 1: L1 beam-level measurement result(s) is predicted based on actual L1 beam-level measurement result(s) and then L3 cell-level measurement result is generated</w:t>
            </w:r>
          </w:p>
          <w:p w14:paraId="0C6C1DEA">
            <w:pPr>
              <w:pStyle w:val="12"/>
              <w:numPr>
                <w:ilvl w:val="3"/>
                <w:numId w:val="4"/>
              </w:numPr>
              <w:overflowPunct/>
              <w:autoSpaceDE/>
              <w:autoSpaceDN/>
              <w:adjustRightInd/>
              <w:snapToGrid w:val="0"/>
              <w:spacing w:after="120"/>
              <w:ind w:firstLineChars="0"/>
              <w:contextualSpacing/>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Sub-use case 2: L3 Cell-level measurement result(s) is predicted based on actual L3 cell-level measurement result(s)</w:t>
            </w:r>
          </w:p>
          <w:p w14:paraId="2AC44C36">
            <w:pPr>
              <w:pStyle w:val="12"/>
              <w:numPr>
                <w:ilvl w:val="3"/>
                <w:numId w:val="4"/>
              </w:numPr>
              <w:overflowPunct/>
              <w:autoSpaceDE/>
              <w:autoSpaceDN/>
              <w:adjustRightInd/>
              <w:snapToGrid w:val="0"/>
              <w:spacing w:after="120"/>
              <w:ind w:firstLineChars="0"/>
              <w:contextualSpacing/>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Sub-use case 3: L3 Cell-level measurement result(s) is predicted based on actual L1 beam-level measurement result(s)</w:t>
            </w:r>
          </w:p>
          <w:p w14:paraId="47AC81EB">
            <w:pPr>
              <w:pStyle w:val="12"/>
              <w:numPr>
                <w:ilvl w:val="3"/>
                <w:numId w:val="4"/>
              </w:numPr>
              <w:overflowPunct/>
              <w:autoSpaceDE/>
              <w:autoSpaceDN/>
              <w:adjustRightInd/>
              <w:snapToGrid w:val="0"/>
              <w:spacing w:after="120"/>
              <w:ind w:firstLineChars="0"/>
              <w:contextualSpacing/>
              <w:textAlignment w:val="auto"/>
              <w:rPr>
                <w:rFonts w:hint="default" w:ascii="Times New Roman" w:hAnsi="Times New Roman" w:cs="Times New Roman"/>
                <w:i/>
                <w:iCs/>
                <w:sz w:val="20"/>
                <w:szCs w:val="20"/>
              </w:rPr>
            </w:pPr>
            <w:r>
              <w:rPr>
                <w:rFonts w:hint="default" w:ascii="Times New Roman" w:hAnsi="Times New Roman" w:cs="Times New Roman"/>
                <w:i/>
                <w:iCs/>
                <w:strike/>
                <w:sz w:val="20"/>
                <w:szCs w:val="20"/>
                <w:highlight w:val="none"/>
              </w:rPr>
              <w:t xml:space="preserve">Follow the latest definition of the sub use-cases in RAN2. </w:t>
            </w:r>
            <w:r>
              <w:rPr>
                <w:rFonts w:hint="default" w:ascii="Times New Roman" w:hAnsi="Times New Roman" w:cs="Times New Roman"/>
                <w:i/>
                <w:iCs/>
                <w:sz w:val="20"/>
                <w:szCs w:val="20"/>
              </w:rPr>
              <w:t>Further clarification on the sub use-cases from RAN4 perspective can be discussed.</w:t>
            </w:r>
          </w:p>
          <w:p w14:paraId="4000E718">
            <w:pPr>
              <w:pStyle w:val="12"/>
              <w:numPr>
                <w:ilvl w:val="1"/>
                <w:numId w:val="4"/>
              </w:numPr>
              <w:overflowPunct/>
              <w:autoSpaceDE/>
              <w:autoSpaceDN/>
              <w:adjustRightInd/>
              <w:snapToGrid w:val="0"/>
              <w:spacing w:after="120"/>
              <w:ind w:firstLineChars="0"/>
              <w:contextualSpacing/>
              <w:textAlignment w:val="auto"/>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(Qualcomm): RAN4 to consider all three sub-use cases, with higher prioritization given to sub-use case 2 and 3.</w:t>
            </w:r>
          </w:p>
          <w:p w14:paraId="73C535ED">
            <w:pPr>
              <w:rPr>
                <w:rFonts w:hint="default" w:ascii="Times New Roman" w:hAnsi="Times New Roman" w:cs="Times New Roman"/>
                <w:i/>
                <w:sz w:val="20"/>
                <w:szCs w:val="20"/>
                <w:vertAlign w:val="baseline"/>
              </w:rPr>
            </w:pPr>
          </w:p>
        </w:tc>
      </w:tr>
    </w:tbl>
    <w:p w14:paraId="6972DD10">
      <w:pPr>
        <w:spacing w:after="180" w:line="240" w:lineRule="exact"/>
        <w:rPr>
          <w:rFonts w:hint="eastAsia" w:ascii="Times New Roman" w:hAnsi="Times New Roman" w:eastAsia="等线"/>
          <w:bCs/>
          <w:iCs/>
          <w:sz w:val="20"/>
          <w:szCs w:val="20"/>
          <w:lang w:val="en-US" w:eastAsia="zh-CN"/>
        </w:rPr>
      </w:pPr>
    </w:p>
    <w:p w14:paraId="5E1A8C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In RAN4 #112bis meeting, it was agreed that RAN4 to start the discussion for scenario 2, 3, 4. Further clarification can be discussed for the scenarios. According to the discussion in previous meeting, one issue identified is that it is not clear whether only serving cell or both serving cell and neighbouring cell are considered for the intra-frequency evaluation scenario.</w:t>
      </w:r>
    </w:p>
    <w:p w14:paraId="68FDD7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the discussion and simulation in RAN2, scenario number 2 (intra-frequency intra-cell temporal domain case B prediction) (scenario number 2,5) is evaluated by predicting a sub set of measurement instances in temporal domain of the same cell for FR1. Scenario number 3(</w:t>
      </w:r>
      <w:r>
        <w:rPr>
          <w:rFonts w:hint="default" w:ascii="Times New Roman" w:hAnsi="Times New Roman" w:eastAsia="等线" w:cs="Times New Roman"/>
          <w:bCs/>
          <w:iCs/>
          <w:sz w:val="20"/>
          <w:szCs w:val="20"/>
          <w:lang w:val="en-US" w:eastAsia="zh-CN"/>
        </w:rPr>
        <w:t>FR1 to FR1 inter-frequency inter-cell prediction</w:t>
      </w:r>
      <w:r>
        <w:rPr>
          <w:rFonts w:hint="eastAsia" w:ascii="Times New Roman" w:hAnsi="Times New Roman" w:eastAsia="等线" w:cs="Times New Roman"/>
          <w:bCs/>
          <w:iCs/>
          <w:sz w:val="20"/>
          <w:szCs w:val="20"/>
          <w:lang w:val="en-US" w:eastAsia="zh-CN"/>
        </w:rPr>
        <w:t>)</w:t>
      </w:r>
      <w:r>
        <w:rPr>
          <w:rFonts w:hint="default" w:ascii="Times New Roman" w:hAnsi="Times New Roman" w:eastAsia="等线" w:cs="Times New Roman"/>
          <w:bCs/>
          <w:iCs/>
          <w:sz w:val="20"/>
          <w:szCs w:val="20"/>
          <w:lang w:val="en-US" w:eastAsia="zh-CN"/>
        </w:rPr>
        <w:t xml:space="preserve"> focus on the case where cell to be measured and cell to be predicted are located in the same sector of either serving site or same neighbouring site</w:t>
      </w:r>
      <w:r>
        <w:rPr>
          <w:rFonts w:hint="eastAsia" w:ascii="Times New Roman" w:hAnsi="Times New Roman" w:eastAsia="等线" w:cs="Times New Roman"/>
          <w:bCs/>
          <w:iCs/>
          <w:sz w:val="20"/>
          <w:szCs w:val="20"/>
          <w:lang w:val="en-US" w:eastAsia="zh-CN"/>
        </w:rPr>
        <w:t>. Scenario number 4 (intra-frequency intra-cell temporal domain case A prediction) is evaluated by predicting measurement result(s) in prediction window based on actual measurement result(s) in observation window of the same cell for FR1 without reducing any measurement in observation window. It can be seen that for intra-frequency, the main focus is intra-cell, which in our understanding target for serving cell.</w:t>
      </w:r>
    </w:p>
    <w:p w14:paraId="4A7E286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Table 1 </w:t>
      </w:r>
      <w:r>
        <w:rPr>
          <w:rFonts w:hint="default" w:ascii="Times New Roman" w:hAnsi="Times New Roman" w:cs="Times New Roman"/>
          <w:b w:val="0"/>
          <w:bCs/>
          <w:sz w:val="20"/>
          <w:szCs w:val="20"/>
        </w:rPr>
        <w:t>Prioritization of evaluation scenarios in RAN2</w:t>
      </w:r>
    </w:p>
    <w:tbl>
      <w:tblPr>
        <w:tblStyle w:val="10"/>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2239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A96BB9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Scenario number</w:t>
            </w:r>
          </w:p>
        </w:tc>
        <w:tc>
          <w:tcPr>
            <w:tcW w:w="1278" w:type="dxa"/>
            <w:tcBorders>
              <w:top w:val="single" w:color="auto" w:sz="4" w:space="0"/>
              <w:left w:val="single" w:color="auto" w:sz="4" w:space="0"/>
              <w:bottom w:val="single" w:color="auto" w:sz="4" w:space="0"/>
              <w:right w:val="single" w:color="auto" w:sz="4" w:space="0"/>
            </w:tcBorders>
          </w:tcPr>
          <w:p w14:paraId="7396DA01">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 xml:space="preserve">Priority </w:t>
            </w:r>
          </w:p>
        </w:tc>
        <w:tc>
          <w:tcPr>
            <w:tcW w:w="3769" w:type="dxa"/>
            <w:tcBorders>
              <w:top w:val="single" w:color="auto" w:sz="4" w:space="0"/>
              <w:left w:val="single" w:color="auto" w:sz="4" w:space="0"/>
              <w:bottom w:val="single" w:color="auto" w:sz="4" w:space="0"/>
              <w:right w:val="single" w:color="auto" w:sz="4" w:space="0"/>
            </w:tcBorders>
          </w:tcPr>
          <w:p w14:paraId="1CCD09D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Evaluation scenario</w:t>
            </w:r>
          </w:p>
        </w:tc>
        <w:tc>
          <w:tcPr>
            <w:tcW w:w="1262" w:type="dxa"/>
            <w:tcBorders>
              <w:top w:val="single" w:color="auto" w:sz="4" w:space="0"/>
              <w:left w:val="single" w:color="auto" w:sz="4" w:space="0"/>
              <w:bottom w:val="single" w:color="auto" w:sz="4" w:space="0"/>
              <w:right w:val="single" w:color="auto" w:sz="4" w:space="0"/>
            </w:tcBorders>
          </w:tcPr>
          <w:p w14:paraId="24C1F146">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Target study goal</w:t>
            </w:r>
          </w:p>
        </w:tc>
        <w:tc>
          <w:tcPr>
            <w:tcW w:w="1339" w:type="dxa"/>
            <w:tcBorders>
              <w:top w:val="single" w:color="auto" w:sz="4" w:space="0"/>
              <w:left w:val="single" w:color="auto" w:sz="4" w:space="0"/>
              <w:bottom w:val="single" w:color="auto" w:sz="4" w:space="0"/>
              <w:right w:val="single" w:color="auto" w:sz="4" w:space="0"/>
            </w:tcBorders>
          </w:tcPr>
          <w:p w14:paraId="7ECCBAD9">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Methodology</w:t>
            </w:r>
          </w:p>
        </w:tc>
      </w:tr>
      <w:tr w14:paraId="5353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2D6734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p>
        </w:tc>
        <w:tc>
          <w:tcPr>
            <w:tcW w:w="1278" w:type="dxa"/>
            <w:tcBorders>
              <w:top w:val="single" w:color="auto" w:sz="4" w:space="0"/>
              <w:left w:val="single" w:color="auto" w:sz="4" w:space="0"/>
              <w:bottom w:val="single" w:color="auto" w:sz="4" w:space="0"/>
              <w:right w:val="single" w:color="auto" w:sz="4" w:space="0"/>
            </w:tcBorders>
          </w:tcPr>
          <w:p w14:paraId="0BD1882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2D2CE01E">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42FCFF2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2E1E6CB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1054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023ABB2">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p>
        </w:tc>
        <w:tc>
          <w:tcPr>
            <w:tcW w:w="1278" w:type="dxa"/>
            <w:tcBorders>
              <w:top w:val="single" w:color="auto" w:sz="4" w:space="0"/>
              <w:left w:val="single" w:color="auto" w:sz="4" w:space="0"/>
              <w:bottom w:val="single" w:color="auto" w:sz="4" w:space="0"/>
              <w:right w:val="single" w:color="auto" w:sz="4" w:space="0"/>
            </w:tcBorders>
          </w:tcPr>
          <w:p w14:paraId="310BD30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0B1D4FE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35E2E472">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02CE6AF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vertAlign w:val="superscript"/>
              </w:rPr>
            </w:pPr>
            <w:r>
              <w:rPr>
                <w:rFonts w:hint="default" w:ascii="Times New Roman" w:hAnsi="Times New Roman" w:eastAsia="Yu Mincho" w:cs="Times New Roman"/>
                <w:sz w:val="20"/>
                <w:szCs w:val="20"/>
              </w:rPr>
              <w:t>Intra-cell</w:t>
            </w:r>
          </w:p>
        </w:tc>
      </w:tr>
      <w:tr w14:paraId="5B83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15CC479">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3</w:t>
            </w:r>
          </w:p>
        </w:tc>
        <w:tc>
          <w:tcPr>
            <w:tcW w:w="1278" w:type="dxa"/>
            <w:tcBorders>
              <w:top w:val="single" w:color="auto" w:sz="4" w:space="0"/>
              <w:left w:val="single" w:color="auto" w:sz="4" w:space="0"/>
              <w:bottom w:val="single" w:color="auto" w:sz="4" w:space="0"/>
              <w:right w:val="single" w:color="auto" w:sz="4" w:space="0"/>
            </w:tcBorders>
          </w:tcPr>
          <w:p w14:paraId="43B019C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1008B895">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47C0C98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79CD384B">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Inter-cell </w:t>
            </w:r>
          </w:p>
        </w:tc>
      </w:tr>
      <w:tr w14:paraId="38E7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BF44E3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4</w:t>
            </w:r>
          </w:p>
        </w:tc>
        <w:tc>
          <w:tcPr>
            <w:tcW w:w="1278" w:type="dxa"/>
            <w:tcBorders>
              <w:top w:val="single" w:color="auto" w:sz="4" w:space="0"/>
              <w:left w:val="single" w:color="auto" w:sz="4" w:space="0"/>
              <w:bottom w:val="single" w:color="auto" w:sz="4" w:space="0"/>
              <w:right w:val="single" w:color="auto" w:sz="4" w:space="0"/>
            </w:tcBorders>
          </w:tcPr>
          <w:p w14:paraId="1B81A58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7B6EA49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1938F62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C3662A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r w14:paraId="2CA8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120C965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5</w:t>
            </w:r>
          </w:p>
        </w:tc>
        <w:tc>
          <w:tcPr>
            <w:tcW w:w="1278" w:type="dxa"/>
            <w:tcBorders>
              <w:top w:val="single" w:color="auto" w:sz="4" w:space="0"/>
              <w:left w:val="single" w:color="auto" w:sz="4" w:space="0"/>
              <w:bottom w:val="single" w:color="auto" w:sz="4" w:space="0"/>
              <w:right w:val="single" w:color="auto" w:sz="4" w:space="0"/>
            </w:tcBorders>
          </w:tcPr>
          <w:p w14:paraId="506E4B1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655BB43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2680347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E4BCDE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7C56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3E4C616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6</w:t>
            </w:r>
          </w:p>
        </w:tc>
        <w:tc>
          <w:tcPr>
            <w:tcW w:w="1278" w:type="dxa"/>
            <w:tcBorders>
              <w:top w:val="single" w:color="auto" w:sz="4" w:space="0"/>
              <w:left w:val="single" w:color="auto" w:sz="4" w:space="0"/>
              <w:bottom w:val="single" w:color="auto" w:sz="4" w:space="0"/>
              <w:right w:val="single" w:color="auto" w:sz="4" w:space="0"/>
            </w:tcBorders>
          </w:tcPr>
          <w:p w14:paraId="40553AB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Middle</w:t>
            </w:r>
          </w:p>
        </w:tc>
        <w:tc>
          <w:tcPr>
            <w:tcW w:w="3769" w:type="dxa"/>
            <w:tcBorders>
              <w:top w:val="single" w:color="auto" w:sz="4" w:space="0"/>
              <w:left w:val="single" w:color="auto" w:sz="4" w:space="0"/>
              <w:bottom w:val="single" w:color="auto" w:sz="4" w:space="0"/>
              <w:right w:val="single" w:color="auto" w:sz="4" w:space="0"/>
            </w:tcBorders>
          </w:tcPr>
          <w:p w14:paraId="31BD574A">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spatial domain</w:t>
            </w:r>
          </w:p>
        </w:tc>
        <w:tc>
          <w:tcPr>
            <w:tcW w:w="1262" w:type="dxa"/>
            <w:tcBorders>
              <w:top w:val="single" w:color="auto" w:sz="4" w:space="0"/>
              <w:left w:val="single" w:color="auto" w:sz="4" w:space="0"/>
              <w:bottom w:val="single" w:color="auto" w:sz="4" w:space="0"/>
              <w:right w:val="single" w:color="auto" w:sz="4" w:space="0"/>
            </w:tcBorders>
          </w:tcPr>
          <w:p w14:paraId="625F5A6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1D45E6F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bl>
    <w:p w14:paraId="7617CF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10F2FB1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scenario 2, 3 and 4, the sub-use case 1, 2, 3 can be discussed. In last meeting, there are proposals to prioritize some of the sub-use cases. Since all these sub-use cases are considered in RAN2, we do not see the necessity to further down-select in RAN4. Our preference is to keep all of these. If the majority view is to perform prioritation, it is proposed to consider sub-use case 1 and sub-use case 2. The reason is that both are are typical implementation. And the model output are different, one output is L1 RSRP, while the other is L3 RSRP. Both need to be considered to study the impact.</w:t>
      </w:r>
    </w:p>
    <w:p w14:paraId="486165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it is proposed to consider </w:t>
      </w:r>
      <w:r>
        <w:rPr>
          <w:rFonts w:hint="default" w:ascii="Times New Roman" w:hAnsi="Times New Roman" w:eastAsia="Yu Mincho" w:cs="Times New Roman"/>
          <w:b/>
          <w:bCs w:val="0"/>
          <w:i/>
          <w:iCs w:val="0"/>
          <w:sz w:val="20"/>
          <w:szCs w:val="20"/>
        </w:rPr>
        <w:t>all three sub-use cases</w:t>
      </w:r>
      <w:r>
        <w:rPr>
          <w:rFonts w:hint="eastAsia" w:ascii="Times New Roman" w:hAnsi="Times New Roman" w:cs="Times New Roman"/>
          <w:b/>
          <w:bCs w:val="0"/>
          <w:i/>
          <w:iCs w:val="0"/>
          <w:sz w:val="20"/>
          <w:szCs w:val="20"/>
          <w:lang w:val="en-US" w:eastAsia="zh-CN"/>
        </w:rPr>
        <w:t>.</w:t>
      </w:r>
    </w:p>
    <w:p w14:paraId="75DB2688">
      <w:pPr>
        <w:spacing w:after="180" w:line="240" w:lineRule="exact"/>
        <w:rPr>
          <w:rFonts w:hint="default" w:ascii="Times New Roman" w:hAnsi="Times New Roman" w:eastAsia="等线"/>
          <w:bCs/>
          <w:iCs/>
          <w:sz w:val="20"/>
          <w:szCs w:val="20"/>
          <w:lang w:val="en-US" w:eastAsia="zh-CN"/>
        </w:rPr>
      </w:pPr>
    </w:p>
    <w:bookmarkEnd w:id="7"/>
    <w:bookmarkEnd w:id="8"/>
    <w:p w14:paraId="2F63ED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lang w:val="en-US" w:eastAsia="zh-CN"/>
        </w:rPr>
        <w:t>general part for AI/ML for mobility.</w:t>
      </w:r>
      <w:r>
        <w:rPr>
          <w:rFonts w:hint="eastAsia" w:ascii="Times New Roman" w:hAnsi="Times New Roman"/>
          <w:sz w:val="20"/>
          <w:szCs w:val="20"/>
        </w:rPr>
        <w:t xml:space="preserve"> The proposals are:</w:t>
      </w:r>
    </w:p>
    <w:p w14:paraId="46D2BEB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rPr>
      </w:pPr>
      <w:r>
        <w:rPr>
          <w:rFonts w:hint="eastAsia" w:ascii="Times New Roman" w:hAnsi="Times New Roman" w:eastAsia="等线" w:cs="Times New Roman"/>
          <w:b/>
          <w:bCs w:val="0"/>
          <w:i/>
          <w:iCs w:val="0"/>
          <w:sz w:val="20"/>
          <w:szCs w:val="20"/>
          <w:lang w:val="en-US" w:eastAsia="zh-CN"/>
        </w:rPr>
        <w:t xml:space="preserve">Proposal 1: it is proposed to consider </w:t>
      </w:r>
      <w:r>
        <w:rPr>
          <w:rFonts w:hint="default" w:ascii="Times New Roman" w:hAnsi="Times New Roman" w:eastAsia="Yu Mincho" w:cs="Times New Roman"/>
          <w:b/>
          <w:bCs w:val="0"/>
          <w:i/>
          <w:iCs w:val="0"/>
          <w:sz w:val="20"/>
          <w:szCs w:val="20"/>
        </w:rPr>
        <w:t>all three sub-use cases</w:t>
      </w:r>
      <w:r>
        <w:rPr>
          <w:rFonts w:hint="eastAsia" w:ascii="Times New Roman" w:hAnsi="Times New Roman" w:cs="Times New Roman"/>
          <w:b/>
          <w:bCs w:val="0"/>
          <w:i/>
          <w:iCs w:val="0"/>
          <w:sz w:val="20"/>
          <w:szCs w:val="20"/>
          <w:lang w:val="en-US" w:eastAsia="zh-CN"/>
        </w:rPr>
        <w:t>.</w:t>
      </w:r>
    </w:p>
    <w:p w14:paraId="5F08F1C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A1F4B3">
      <w:pPr>
        <w:pStyle w:val="13"/>
        <w:framePr w:wrap="auto" w:vAnchor="margin" w:hAnchor="text" w:yAlign="inline"/>
        <w:numPr>
          <w:ilvl w:val="0"/>
          <w:numId w:val="5"/>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03C37C82">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38B2F24">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20AFE6D">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544A76EC">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0221EBB">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30F42DA"/>
    <w:rsid w:val="039B37C7"/>
    <w:rsid w:val="03B64756"/>
    <w:rsid w:val="05581271"/>
    <w:rsid w:val="08320503"/>
    <w:rsid w:val="095F3199"/>
    <w:rsid w:val="0CA917F7"/>
    <w:rsid w:val="0E023C9B"/>
    <w:rsid w:val="11144517"/>
    <w:rsid w:val="13E54515"/>
    <w:rsid w:val="154B4C98"/>
    <w:rsid w:val="1E262080"/>
    <w:rsid w:val="1EA13FCF"/>
    <w:rsid w:val="20A67B9D"/>
    <w:rsid w:val="21F229A5"/>
    <w:rsid w:val="22F84732"/>
    <w:rsid w:val="29521D5A"/>
    <w:rsid w:val="296A6325"/>
    <w:rsid w:val="2DCC054E"/>
    <w:rsid w:val="31B53264"/>
    <w:rsid w:val="3377765C"/>
    <w:rsid w:val="351D1843"/>
    <w:rsid w:val="3850290E"/>
    <w:rsid w:val="39A706A6"/>
    <w:rsid w:val="3AF811CC"/>
    <w:rsid w:val="3FF257A0"/>
    <w:rsid w:val="41597CC1"/>
    <w:rsid w:val="43661D77"/>
    <w:rsid w:val="44923C8C"/>
    <w:rsid w:val="44ED5522"/>
    <w:rsid w:val="45251780"/>
    <w:rsid w:val="486C7D0F"/>
    <w:rsid w:val="48BC1FC7"/>
    <w:rsid w:val="48BD345D"/>
    <w:rsid w:val="48F55360"/>
    <w:rsid w:val="4AAA7A11"/>
    <w:rsid w:val="4F01352B"/>
    <w:rsid w:val="50AC3D18"/>
    <w:rsid w:val="521A547C"/>
    <w:rsid w:val="56582839"/>
    <w:rsid w:val="5798278D"/>
    <w:rsid w:val="59A65848"/>
    <w:rsid w:val="5AAC5686"/>
    <w:rsid w:val="5C491F27"/>
    <w:rsid w:val="5E176D14"/>
    <w:rsid w:val="617674D6"/>
    <w:rsid w:val="61DF3A9F"/>
    <w:rsid w:val="676E7F3D"/>
    <w:rsid w:val="67A4673A"/>
    <w:rsid w:val="6C642F64"/>
    <w:rsid w:val="71997D14"/>
    <w:rsid w:val="71A82806"/>
    <w:rsid w:val="73C17630"/>
    <w:rsid w:val="73F67ACD"/>
    <w:rsid w:val="75A5650E"/>
    <w:rsid w:val="77B91A3C"/>
    <w:rsid w:val="77F160D3"/>
    <w:rsid w:val="79670D3F"/>
    <w:rsid w:val="7D796C4C"/>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2025-02-07T08:46:13Z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